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8828" w14:textId="77777777" w:rsidR="00D560D4" w:rsidRDefault="003F3D30">
      <w:r>
        <w:t xml:space="preserve">EL</w:t>
      </w:r>
      <w:r>
        <w:cr/>
      </w:r>
      <w:r>
        <w:t xml:space="preserve">P-003202/2023</w:t>
      </w:r>
      <w:r>
        <w:cr/>
      </w:r>
      <w:r>
        <w:t xml:space="preserve">Απάντηση του κ. Várhelyi</w:t>
      </w:r>
      <w:r>
        <w:cr/>
      </w:r>
      <w:r>
        <w:t xml:space="preserve">εξ ονόματος της Ευρωπαϊκής Επιτροπής</w:t>
      </w:r>
      <w:r>
        <w:cr/>
      </w:r>
      <w:r>
        <w:t xml:space="preserve">(16.2.2024)</w:t>
      </w:r>
      <w:r>
        <w:cr/>
      </w:r>
    </w:p>
    <w:p w14:paraId="64425E7E" w14:textId="77777777" w:rsidR="000D70BC" w:rsidRDefault="000D70BC"/>
    <w:p w14:paraId="612FE5A8" w14:textId="79A78FB2" w:rsidR="000D70BC" w:rsidRDefault="00601965" w:rsidP="00DF7976">
      <w:pPr>
        <w:jc w:val="both"/>
        <w:rPr>
          <w:rFonts w:asciiTheme="majorHAnsi" w:hAnsiTheme="majorHAnsi" w:cstheme="majorHAnsi"/>
        </w:rPr>
      </w:pPr>
      <w:r>
        <w:rPr>
          <w:rFonts w:asciiTheme="majorHAnsi" w:hAnsiTheme="majorHAnsi"/>
        </w:rPr>
        <w:t xml:space="preserve">Η βελτίωση των κτηματολογίων συμβάλλει στη βελτίωση του επιχειρηματικού κλίματος, στην προσέλκυση επενδύσεων και μπορεί επίσης να ωφελήσει τους πολίτες της ΕΕ που κατέχουν ακίνητα σε χώρες εταίρους.</w:t>
      </w:r>
      <w:r>
        <w:rPr>
          <w:rFonts w:asciiTheme="majorHAnsi" w:hAnsiTheme="majorHAnsi"/>
        </w:rPr>
        <w:t xml:space="preserve"> </w:t>
      </w:r>
      <w:r>
        <w:rPr>
          <w:rFonts w:asciiTheme="majorHAnsi" w:hAnsiTheme="majorHAnsi"/>
        </w:rPr>
        <w:t xml:space="preserve">Η Επιτροπή συμμετέχει σε πολιτικό διάλογο και παρέχει στήριξη στις χώρες εταίρους στον τομέα αυτό, μεταξύ άλλων και για τα ηλεκτρονικά περιουσιολόγια.</w:t>
      </w:r>
      <w:r>
        <w:rPr>
          <w:rFonts w:asciiTheme="majorHAnsi" w:hAnsiTheme="majorHAnsi"/>
        </w:rPr>
        <w:t xml:space="preserve"> </w:t>
      </w:r>
      <w:r>
        <w:rPr>
          <w:rFonts w:asciiTheme="majorHAnsi" w:hAnsiTheme="majorHAnsi"/>
        </w:rPr>
        <w:t xml:space="preserve">Όσον αφορά τις χώρες διεύρυνσης, η πρόοδος στον τομέα αυτό παρακολουθείται και αξιολογείται στο πλαίσιο των ετήσιων εκθέσεων σχετικά με τη διεύρυνση</w:t>
      </w:r>
      <w:r w:rsidR="004964D5">
        <w:rPr>
          <w:rStyle w:val="FootnoteReference"/>
          <w:rFonts w:asciiTheme="majorHAnsi" w:hAnsiTheme="majorHAnsi" w:cstheme="majorHAnsi"/>
        </w:rPr>
        <w:footnoteReference w:id="1"/>
      </w:r>
      <w:r>
        <w:rPr>
          <w:rFonts w:asciiTheme="majorHAnsi" w:hAnsiTheme="majorHAnsi"/>
        </w:rPr>
        <w:t xml:space="preserve">.</w:t>
      </w:r>
    </w:p>
    <w:p w14:paraId="3DE20844" w14:textId="242B7FE7" w:rsidR="00522A80" w:rsidRPr="00522A80" w:rsidRDefault="00522A80" w:rsidP="00DF7976">
      <w:pPr>
        <w:jc w:val="both"/>
        <w:rPr>
          <w:rFonts w:asciiTheme="majorHAnsi" w:hAnsiTheme="majorHAnsi" w:cstheme="majorHAnsi"/>
        </w:rPr>
      </w:pPr>
    </w:p>
    <w:p w14:paraId="69240B61" w14:textId="7B93AB5D" w:rsidR="00910B0B" w:rsidRDefault="00E87DD7" w:rsidP="00025870">
      <w:pPr>
        <w:jc w:val="both"/>
        <w:rPr>
          <w:rFonts w:asciiTheme="majorHAnsi" w:hAnsiTheme="majorHAnsi" w:cstheme="majorHAnsi"/>
        </w:rPr>
      </w:pPr>
      <w:r>
        <w:rPr>
          <w:rFonts w:asciiTheme="majorHAnsi" w:hAnsiTheme="majorHAnsi"/>
        </w:rPr>
        <w:t xml:space="preserve">Το δικαίωμα ιδιοκτησίας προστατεύεται από το άρθρο 17 της Οικουμενικής Διακήρυξης των Δικαιωμάτων του Ανθρώπου</w:t>
      </w:r>
      <w:r w:rsidR="00364DA3">
        <w:rPr>
          <w:rStyle w:val="FootnoteReference"/>
          <w:rFonts w:asciiTheme="majorHAnsi" w:hAnsiTheme="majorHAnsi" w:cstheme="majorHAnsi"/>
        </w:rPr>
        <w:footnoteReference w:id="2"/>
      </w:r>
      <w:r>
        <w:rPr>
          <w:rFonts w:asciiTheme="majorHAnsi" w:hAnsiTheme="majorHAnsi"/>
        </w:rPr>
        <w:t xml:space="preserve"> και το άρθρο 1 του Πρωτοκόλλου της 20ής Μαρτίου 1952 στην Ευρωπαϊκή Σύμβαση για την Προάσπιση των Δικαιωμάτων του Ανθρώπου και των Θεμελιωδών Ελευθεριών</w:t>
      </w:r>
      <w:r w:rsidR="00364DA3">
        <w:rPr>
          <w:rStyle w:val="FootnoteReference"/>
          <w:rFonts w:asciiTheme="majorHAnsi" w:hAnsiTheme="majorHAnsi" w:cstheme="majorHAnsi"/>
        </w:rPr>
        <w:footnoteReference w:id="3"/>
      </w:r>
      <w:r>
        <w:rPr>
          <w:rFonts w:asciiTheme="majorHAnsi" w:hAnsiTheme="majorHAnsi"/>
        </w:rPr>
        <w:t xml:space="preserve">.</w:t>
      </w:r>
      <w:r>
        <w:rPr>
          <w:rFonts w:asciiTheme="majorHAnsi" w:hAnsiTheme="majorHAnsi"/>
        </w:rPr>
        <w:t xml:space="preserve"> </w:t>
      </w:r>
      <w:r>
        <w:rPr>
          <w:rFonts w:asciiTheme="majorHAnsi" w:hAnsiTheme="majorHAnsi"/>
        </w:rPr>
        <w:t xml:space="preserve">Στις χώρες διεύρυνσης, η Επιτροπή συνεχίζει να παρακολουθεί, να υποβάλλει εκθέσεις και να αξιολογεί την πρόοδο των μεταρρυθμίσεων στους τομείς του κράτους δικαίου και των θεμελιωδών δικαιωμάτων, συμπεριλαμβανομένων των δικαιωμάτων ιδιοκτησίας και της προστασίας των μειονοτήτων.</w:t>
      </w:r>
      <w:r>
        <w:rPr>
          <w:rFonts w:asciiTheme="majorHAnsi" w:hAnsiTheme="majorHAnsi"/>
        </w:rPr>
        <w:t xml:space="preserve"> </w:t>
      </w:r>
      <w:r>
        <w:rPr>
          <w:rFonts w:asciiTheme="majorHAnsi" w:hAnsiTheme="majorHAnsi"/>
        </w:rPr>
        <w:t xml:space="preserve">Η δέσμη μέτρων της Επιτροπής για τη διεύρυνση</w:t>
      </w:r>
      <w:r w:rsidR="004964D5">
        <w:rPr>
          <w:rStyle w:val="FootnoteReference"/>
          <w:rFonts w:asciiTheme="majorHAnsi" w:hAnsiTheme="majorHAnsi" w:cstheme="majorHAnsi"/>
        </w:rPr>
        <w:footnoteReference w:id="4"/>
      </w:r>
      <w:r>
        <w:rPr>
          <w:rFonts w:asciiTheme="majorHAnsi" w:hAnsiTheme="majorHAnsi"/>
        </w:rPr>
        <w:t xml:space="preserve"> το 2023 παρέχει καθοδήγηση σχετικά με τις μεταρρυθμιστικές προτεραιότητες σε αυτούς τους τομείς στις χώρες εταίρους.</w:t>
      </w:r>
    </w:p>
    <w:p w14:paraId="57C94CD8" w14:textId="77777777" w:rsidR="004C3D92" w:rsidRPr="00DF7976" w:rsidRDefault="004C3D92" w:rsidP="00DF7976">
      <w:pPr>
        <w:jc w:val="both"/>
        <w:rPr>
          <w:rFonts w:asciiTheme="majorHAnsi" w:hAnsiTheme="majorHAnsi" w:cstheme="majorHAnsi"/>
        </w:rPr>
      </w:pPr>
    </w:p>
    <w:sectPr w:rsidR="004C3D92" w:rsidRPr="00DF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7943" w14:textId="77777777" w:rsidR="00897BB6" w:rsidRDefault="00897BB6" w:rsidP="000D70BC">
      <w:r>
        <w:separator/>
      </w:r>
    </w:p>
  </w:endnote>
  <w:endnote w:type="continuationSeparator" w:id="0">
    <w:p w14:paraId="68725CE6" w14:textId="77777777" w:rsidR="00897BB6" w:rsidRDefault="00897BB6" w:rsidP="000D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BE10" w14:textId="77777777" w:rsidR="00897BB6" w:rsidRDefault="00897BB6" w:rsidP="000D70BC">
      <w:r>
        <w:separator/>
      </w:r>
    </w:p>
  </w:footnote>
  <w:footnote w:type="continuationSeparator" w:id="0">
    <w:p w14:paraId="00E57A87" w14:textId="77777777" w:rsidR="00897BB6" w:rsidRDefault="00897BB6" w:rsidP="000D70BC">
      <w:r>
        <w:continuationSeparator/>
      </w:r>
    </w:p>
  </w:footnote>
  <w:footnote w:id="1">
    <w:p w14:paraId="16EA2A42" w14:textId="1D24436B" w:rsidR="004964D5" w:rsidRPr="00615EC8" w:rsidRDefault="004964D5">
      <w:pPr>
        <w:pStyle w:val="FootnoteText"/>
      </w:pPr>
      <w:r>
        <w:rPr>
          <w:rStyle w:val="FootnoteReference"/>
        </w:rPr>
        <w:footnoteRef/>
      </w:r>
      <w:r>
        <w:t xml:space="preserve"> </w:t>
      </w:r>
      <w:hyperlink r:id="rId1" w:history="1">
        <w:r>
          <w:rPr>
            <w:rStyle w:val="Hyperlink"/>
          </w:rPr>
          <w:t xml:space="preserve">https://neighbourhood-enlargement.ec.europa.eu/enlargement-policy/strategy-and-reports/2023-eu-enlargement-policy-links_el</w:t>
        </w:r>
      </w:hyperlink>
    </w:p>
  </w:footnote>
  <w:footnote w:id="2">
    <w:p w14:paraId="321FB8E1" w14:textId="55C0D803" w:rsidR="00364DA3" w:rsidRPr="00364DA3" w:rsidRDefault="00364DA3">
      <w:pPr>
        <w:pStyle w:val="FootnoteText"/>
      </w:pPr>
      <w:r>
        <w:rPr>
          <w:rStyle w:val="FootnoteReference"/>
        </w:rPr>
        <w:footnoteRef/>
      </w:r>
      <w:r>
        <w:t xml:space="preserve"> </w:t>
      </w:r>
      <w:hyperlink r:id="rId2" w:history="1">
        <w:r>
          <w:rPr>
            <w:rStyle w:val="Hyperlink"/>
          </w:rPr>
          <w:t xml:space="preserve">https://www.un.org/en/about-us/universal-declaration-of-human-rights</w:t>
        </w:r>
      </w:hyperlink>
    </w:p>
  </w:footnote>
  <w:footnote w:id="3">
    <w:p w14:paraId="361AEBB0" w14:textId="6A86AF52" w:rsidR="00364DA3" w:rsidRPr="00364DA3" w:rsidRDefault="00364DA3">
      <w:pPr>
        <w:pStyle w:val="FootnoteText"/>
      </w:pPr>
      <w:r>
        <w:rPr>
          <w:rStyle w:val="FootnoteReference"/>
        </w:rPr>
        <w:footnoteRef/>
      </w:r>
      <w:r>
        <w:t xml:space="preserve"> </w:t>
      </w:r>
      <w:hyperlink r:id="rId3" w:history="1">
        <w:r>
          <w:rPr>
            <w:rStyle w:val="Hyperlink"/>
          </w:rPr>
          <w:t xml:space="preserve">https://rm.coe.int/168006377c</w:t>
        </w:r>
      </w:hyperlink>
    </w:p>
  </w:footnote>
  <w:footnote w:id="4">
    <w:p w14:paraId="1789A8DF" w14:textId="14A934E6" w:rsidR="004964D5" w:rsidRPr="00615EC8" w:rsidRDefault="004964D5">
      <w:pPr>
        <w:pStyle w:val="FootnoteText"/>
      </w:pPr>
      <w:r>
        <w:rPr>
          <w:rStyle w:val="FootnoteReference"/>
        </w:rPr>
        <w:footnoteRef/>
      </w:r>
      <w:r>
        <w:t xml:space="preserve"> </w:t>
      </w:r>
      <w:hyperlink r:id="rId4" w:history="1">
        <w:r>
          <w:rPr>
            <w:rStyle w:val="Hyperlink"/>
          </w:rPr>
          <w:t xml:space="preserve">https://neighbourhood-enlargement.ec.europa.eu/enlargement-policy/strategy-and-reports/2023-eu-enlargement-policy-links_el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B10"/>
    <w:multiLevelType w:val="hybridMultilevel"/>
    <w:tmpl w:val="3FD2C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BB05F5"/>
    <w:multiLevelType w:val="hybridMultilevel"/>
    <w:tmpl w:val="4E8261DA"/>
    <w:lvl w:ilvl="0" w:tplc="61EAEC5C">
      <w:start w:val="1"/>
      <w:numFmt w:val="bullet"/>
      <w:lvlText w:val=""/>
      <w:lvlJc w:val="left"/>
      <w:pPr>
        <w:ind w:left="720" w:hanging="360"/>
      </w:pPr>
      <w:rPr>
        <w:rFonts w:ascii="Symbol" w:hAnsi="Symbol"/>
      </w:rPr>
    </w:lvl>
    <w:lvl w:ilvl="1" w:tplc="1D942E1E">
      <w:start w:val="1"/>
      <w:numFmt w:val="bullet"/>
      <w:lvlText w:val=""/>
      <w:lvlJc w:val="left"/>
      <w:pPr>
        <w:ind w:left="720" w:hanging="360"/>
      </w:pPr>
      <w:rPr>
        <w:rFonts w:ascii="Symbol" w:hAnsi="Symbol"/>
      </w:rPr>
    </w:lvl>
    <w:lvl w:ilvl="2" w:tplc="8BD61C18">
      <w:start w:val="1"/>
      <w:numFmt w:val="bullet"/>
      <w:lvlText w:val=""/>
      <w:lvlJc w:val="left"/>
      <w:pPr>
        <w:ind w:left="720" w:hanging="360"/>
      </w:pPr>
      <w:rPr>
        <w:rFonts w:ascii="Symbol" w:hAnsi="Symbol"/>
      </w:rPr>
    </w:lvl>
    <w:lvl w:ilvl="3" w:tplc="316C7184">
      <w:start w:val="1"/>
      <w:numFmt w:val="bullet"/>
      <w:lvlText w:val=""/>
      <w:lvlJc w:val="left"/>
      <w:pPr>
        <w:ind w:left="720" w:hanging="360"/>
      </w:pPr>
      <w:rPr>
        <w:rFonts w:ascii="Symbol" w:hAnsi="Symbol"/>
      </w:rPr>
    </w:lvl>
    <w:lvl w:ilvl="4" w:tplc="717C4632">
      <w:start w:val="1"/>
      <w:numFmt w:val="bullet"/>
      <w:lvlText w:val=""/>
      <w:lvlJc w:val="left"/>
      <w:pPr>
        <w:ind w:left="720" w:hanging="360"/>
      </w:pPr>
      <w:rPr>
        <w:rFonts w:ascii="Symbol" w:hAnsi="Symbol"/>
      </w:rPr>
    </w:lvl>
    <w:lvl w:ilvl="5" w:tplc="47AE3316">
      <w:start w:val="1"/>
      <w:numFmt w:val="bullet"/>
      <w:lvlText w:val=""/>
      <w:lvlJc w:val="left"/>
      <w:pPr>
        <w:ind w:left="720" w:hanging="360"/>
      </w:pPr>
      <w:rPr>
        <w:rFonts w:ascii="Symbol" w:hAnsi="Symbol"/>
      </w:rPr>
    </w:lvl>
    <w:lvl w:ilvl="6" w:tplc="42F0435E">
      <w:start w:val="1"/>
      <w:numFmt w:val="bullet"/>
      <w:lvlText w:val=""/>
      <w:lvlJc w:val="left"/>
      <w:pPr>
        <w:ind w:left="720" w:hanging="360"/>
      </w:pPr>
      <w:rPr>
        <w:rFonts w:ascii="Symbol" w:hAnsi="Symbol"/>
      </w:rPr>
    </w:lvl>
    <w:lvl w:ilvl="7" w:tplc="F6A0DBB6">
      <w:start w:val="1"/>
      <w:numFmt w:val="bullet"/>
      <w:lvlText w:val=""/>
      <w:lvlJc w:val="left"/>
      <w:pPr>
        <w:ind w:left="720" w:hanging="360"/>
      </w:pPr>
      <w:rPr>
        <w:rFonts w:ascii="Symbol" w:hAnsi="Symbol"/>
      </w:rPr>
    </w:lvl>
    <w:lvl w:ilvl="8" w:tplc="65303894">
      <w:start w:val="1"/>
      <w:numFmt w:val="bullet"/>
      <w:lvlText w:val=""/>
      <w:lvlJc w:val="left"/>
      <w:pPr>
        <w:ind w:left="720" w:hanging="360"/>
      </w:pPr>
      <w:rPr>
        <w:rFonts w:ascii="Symbol" w:hAnsi="Symbol"/>
      </w:rPr>
    </w:lvl>
  </w:abstractNum>
  <w:abstractNum w:abstractNumId="2" w15:restartNumberingAfterBreak="0">
    <w:nsid w:val="245208CB"/>
    <w:multiLevelType w:val="hybridMultilevel"/>
    <w:tmpl w:val="4A1ECD32"/>
    <w:lvl w:ilvl="0" w:tplc="85547D66">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E25B55"/>
    <w:multiLevelType w:val="hybridMultilevel"/>
    <w:tmpl w:val="23C0FA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80D5EF8"/>
    <w:multiLevelType w:val="hybridMultilevel"/>
    <w:tmpl w:val="FCE47EEA"/>
    <w:lvl w:ilvl="0" w:tplc="8132F0D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B3150F8"/>
    <w:multiLevelType w:val="hybridMultilevel"/>
    <w:tmpl w:val="048CC1E6"/>
    <w:lvl w:ilvl="0" w:tplc="071CF66E">
      <w:start w:val="1"/>
      <w:numFmt w:val="bullet"/>
      <w:lvlText w:val=""/>
      <w:lvlJc w:val="left"/>
      <w:pPr>
        <w:ind w:left="720" w:hanging="360"/>
      </w:pPr>
      <w:rPr>
        <w:rFonts w:ascii="Symbol" w:hAnsi="Symbol"/>
      </w:rPr>
    </w:lvl>
    <w:lvl w:ilvl="1" w:tplc="A0463888">
      <w:start w:val="1"/>
      <w:numFmt w:val="bullet"/>
      <w:lvlText w:val=""/>
      <w:lvlJc w:val="left"/>
      <w:pPr>
        <w:ind w:left="720" w:hanging="360"/>
      </w:pPr>
      <w:rPr>
        <w:rFonts w:ascii="Symbol" w:hAnsi="Symbol"/>
      </w:rPr>
    </w:lvl>
    <w:lvl w:ilvl="2" w:tplc="417489C6">
      <w:start w:val="1"/>
      <w:numFmt w:val="bullet"/>
      <w:lvlText w:val=""/>
      <w:lvlJc w:val="left"/>
      <w:pPr>
        <w:ind w:left="720" w:hanging="360"/>
      </w:pPr>
      <w:rPr>
        <w:rFonts w:ascii="Symbol" w:hAnsi="Symbol"/>
      </w:rPr>
    </w:lvl>
    <w:lvl w:ilvl="3" w:tplc="103C3BAA">
      <w:start w:val="1"/>
      <w:numFmt w:val="bullet"/>
      <w:lvlText w:val=""/>
      <w:lvlJc w:val="left"/>
      <w:pPr>
        <w:ind w:left="720" w:hanging="360"/>
      </w:pPr>
      <w:rPr>
        <w:rFonts w:ascii="Symbol" w:hAnsi="Symbol"/>
      </w:rPr>
    </w:lvl>
    <w:lvl w:ilvl="4" w:tplc="43B629DA">
      <w:start w:val="1"/>
      <w:numFmt w:val="bullet"/>
      <w:lvlText w:val=""/>
      <w:lvlJc w:val="left"/>
      <w:pPr>
        <w:ind w:left="720" w:hanging="360"/>
      </w:pPr>
      <w:rPr>
        <w:rFonts w:ascii="Symbol" w:hAnsi="Symbol"/>
      </w:rPr>
    </w:lvl>
    <w:lvl w:ilvl="5" w:tplc="DAEE9F74">
      <w:start w:val="1"/>
      <w:numFmt w:val="bullet"/>
      <w:lvlText w:val=""/>
      <w:lvlJc w:val="left"/>
      <w:pPr>
        <w:ind w:left="720" w:hanging="360"/>
      </w:pPr>
      <w:rPr>
        <w:rFonts w:ascii="Symbol" w:hAnsi="Symbol"/>
      </w:rPr>
    </w:lvl>
    <w:lvl w:ilvl="6" w:tplc="A54025D2">
      <w:start w:val="1"/>
      <w:numFmt w:val="bullet"/>
      <w:lvlText w:val=""/>
      <w:lvlJc w:val="left"/>
      <w:pPr>
        <w:ind w:left="720" w:hanging="360"/>
      </w:pPr>
      <w:rPr>
        <w:rFonts w:ascii="Symbol" w:hAnsi="Symbol"/>
      </w:rPr>
    </w:lvl>
    <w:lvl w:ilvl="7" w:tplc="4080EA7C">
      <w:start w:val="1"/>
      <w:numFmt w:val="bullet"/>
      <w:lvlText w:val=""/>
      <w:lvlJc w:val="left"/>
      <w:pPr>
        <w:ind w:left="720" w:hanging="360"/>
      </w:pPr>
      <w:rPr>
        <w:rFonts w:ascii="Symbol" w:hAnsi="Symbol"/>
      </w:rPr>
    </w:lvl>
    <w:lvl w:ilvl="8" w:tplc="41F4A394">
      <w:start w:val="1"/>
      <w:numFmt w:val="bullet"/>
      <w:lvlText w:val=""/>
      <w:lvlJc w:val="left"/>
      <w:pPr>
        <w:ind w:left="720" w:hanging="360"/>
      </w:pPr>
      <w:rPr>
        <w:rFonts w:ascii="Symbol" w:hAnsi="Symbol"/>
      </w:rPr>
    </w:lvl>
  </w:abstractNum>
  <w:num w:numId="1" w16cid:durableId="782304717">
    <w:abstractNumId w:val="3"/>
  </w:num>
  <w:num w:numId="2" w16cid:durableId="1404328386">
    <w:abstractNumId w:val="4"/>
  </w:num>
  <w:num w:numId="3" w16cid:durableId="608859326">
    <w:abstractNumId w:val="0"/>
  </w:num>
  <w:num w:numId="4" w16cid:durableId="1400864397">
    <w:abstractNumId w:val="2"/>
  </w:num>
  <w:num w:numId="5" w16cid:durableId="123698455">
    <w:abstractNumId w:val="1"/>
  </w:num>
  <w:num w:numId="6" w16cid:durableId="1827477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1B1"/>
    <w:rsid w:val="00017D03"/>
    <w:rsid w:val="00025870"/>
    <w:rsid w:val="00060C9D"/>
    <w:rsid w:val="000923FB"/>
    <w:rsid w:val="000C16D6"/>
    <w:rsid w:val="000C6768"/>
    <w:rsid w:val="000D70BC"/>
    <w:rsid w:val="000F3066"/>
    <w:rsid w:val="001B089F"/>
    <w:rsid w:val="001D3FC2"/>
    <w:rsid w:val="002859E3"/>
    <w:rsid w:val="002B3C06"/>
    <w:rsid w:val="0030671D"/>
    <w:rsid w:val="00307677"/>
    <w:rsid w:val="00364DA3"/>
    <w:rsid w:val="003F3D30"/>
    <w:rsid w:val="00400627"/>
    <w:rsid w:val="004140F5"/>
    <w:rsid w:val="00437A1E"/>
    <w:rsid w:val="004964D5"/>
    <w:rsid w:val="004C3D92"/>
    <w:rsid w:val="00522A80"/>
    <w:rsid w:val="00577A59"/>
    <w:rsid w:val="00582036"/>
    <w:rsid w:val="00591B96"/>
    <w:rsid w:val="00601965"/>
    <w:rsid w:val="00615EC8"/>
    <w:rsid w:val="00630B5D"/>
    <w:rsid w:val="006535DB"/>
    <w:rsid w:val="00662776"/>
    <w:rsid w:val="0067237F"/>
    <w:rsid w:val="00694CE1"/>
    <w:rsid w:val="00736F0A"/>
    <w:rsid w:val="007C1AF5"/>
    <w:rsid w:val="007D7BA8"/>
    <w:rsid w:val="00897BB6"/>
    <w:rsid w:val="008E5AA8"/>
    <w:rsid w:val="00902ED2"/>
    <w:rsid w:val="00910B0B"/>
    <w:rsid w:val="00982C3B"/>
    <w:rsid w:val="009E539B"/>
    <w:rsid w:val="009E73A9"/>
    <w:rsid w:val="00A74048"/>
    <w:rsid w:val="00B81C9F"/>
    <w:rsid w:val="00BF382B"/>
    <w:rsid w:val="00C12F13"/>
    <w:rsid w:val="00C541B1"/>
    <w:rsid w:val="00C87D78"/>
    <w:rsid w:val="00CD30FB"/>
    <w:rsid w:val="00D1198A"/>
    <w:rsid w:val="00D560D4"/>
    <w:rsid w:val="00DD76ED"/>
    <w:rsid w:val="00DF7976"/>
    <w:rsid w:val="00E05C1B"/>
    <w:rsid w:val="00E22989"/>
    <w:rsid w:val="00E87DD7"/>
    <w:rsid w:val="00E919EA"/>
    <w:rsid w:val="00EC361A"/>
    <w:rsid w:val="00EF55B4"/>
    <w:rsid w:val="00FB4433"/>
    <w:rsid w:val="00FE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A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0BC"/>
    <w:pPr>
      <w:ind w:left="720"/>
      <w:contextualSpacing/>
    </w:pPr>
  </w:style>
  <w:style w:type="paragraph" w:styleId="Revision">
    <w:name w:val="Revision"/>
    <w:hidden/>
    <w:uiPriority w:val="99"/>
    <w:semiHidden/>
    <w:rsid w:val="00522A80"/>
    <w:rPr>
      <w:sz w:val="24"/>
    </w:rPr>
  </w:style>
  <w:style w:type="character" w:styleId="CommentReference">
    <w:name w:val="annotation reference"/>
    <w:basedOn w:val="DefaultParagraphFont"/>
    <w:uiPriority w:val="99"/>
    <w:semiHidden/>
    <w:unhideWhenUsed/>
    <w:rsid w:val="00C87D78"/>
    <w:rPr>
      <w:sz w:val="16"/>
      <w:szCs w:val="16"/>
    </w:rPr>
  </w:style>
  <w:style w:type="paragraph" w:styleId="CommentText">
    <w:name w:val="annotation text"/>
    <w:basedOn w:val="Normal"/>
    <w:link w:val="CommentTextChar"/>
    <w:uiPriority w:val="99"/>
    <w:unhideWhenUsed/>
    <w:rsid w:val="00C87D78"/>
    <w:rPr>
      <w:sz w:val="20"/>
      <w:szCs w:val="20"/>
    </w:rPr>
  </w:style>
  <w:style w:type="character" w:customStyle="1" w:styleId="CommentTextChar">
    <w:name w:val="Comment Text Char"/>
    <w:basedOn w:val="DefaultParagraphFont"/>
    <w:link w:val="CommentText"/>
    <w:uiPriority w:val="99"/>
    <w:rsid w:val="00C87D78"/>
    <w:rPr>
      <w:sz w:val="20"/>
      <w:szCs w:val="20"/>
    </w:rPr>
  </w:style>
  <w:style w:type="paragraph" w:styleId="CommentSubject">
    <w:name w:val="annotation subject"/>
    <w:basedOn w:val="CommentText"/>
    <w:next w:val="CommentText"/>
    <w:link w:val="CommentSubjectChar"/>
    <w:uiPriority w:val="99"/>
    <w:semiHidden/>
    <w:unhideWhenUsed/>
    <w:rsid w:val="00C87D78"/>
    <w:rPr>
      <w:b/>
      <w:bCs/>
    </w:rPr>
  </w:style>
  <w:style w:type="character" w:customStyle="1" w:styleId="CommentSubjectChar">
    <w:name w:val="Comment Subject Char"/>
    <w:basedOn w:val="CommentTextChar"/>
    <w:link w:val="CommentSubject"/>
    <w:uiPriority w:val="99"/>
    <w:semiHidden/>
    <w:rsid w:val="00C87D78"/>
    <w:rPr>
      <w:b/>
      <w:bCs/>
      <w:sz w:val="20"/>
      <w:szCs w:val="20"/>
    </w:rPr>
  </w:style>
  <w:style w:type="paragraph" w:styleId="FootnoteText">
    <w:name w:val="footnote text"/>
    <w:basedOn w:val="Normal"/>
    <w:link w:val="FootnoteTextChar"/>
    <w:uiPriority w:val="99"/>
    <w:semiHidden/>
    <w:unhideWhenUsed/>
    <w:rsid w:val="004964D5"/>
    <w:rPr>
      <w:sz w:val="20"/>
      <w:szCs w:val="20"/>
    </w:rPr>
  </w:style>
  <w:style w:type="character" w:customStyle="1" w:styleId="FootnoteTextChar">
    <w:name w:val="Footnote Text Char"/>
    <w:basedOn w:val="DefaultParagraphFont"/>
    <w:link w:val="FootnoteText"/>
    <w:uiPriority w:val="99"/>
    <w:semiHidden/>
    <w:rsid w:val="004964D5"/>
    <w:rPr>
      <w:sz w:val="20"/>
      <w:szCs w:val="20"/>
    </w:rPr>
  </w:style>
  <w:style w:type="character" w:styleId="FootnoteReference">
    <w:name w:val="footnote reference"/>
    <w:basedOn w:val="DefaultParagraphFont"/>
    <w:uiPriority w:val="99"/>
    <w:semiHidden/>
    <w:unhideWhenUsed/>
    <w:rsid w:val="004964D5"/>
    <w:rPr>
      <w:vertAlign w:val="superscript"/>
    </w:rPr>
  </w:style>
  <w:style w:type="character" w:styleId="Hyperlink">
    <w:name w:val="Hyperlink"/>
    <w:basedOn w:val="DefaultParagraphFont"/>
    <w:uiPriority w:val="99"/>
    <w:unhideWhenUsed/>
    <w:rsid w:val="004964D5"/>
    <w:rPr>
      <w:color w:val="0000FF"/>
      <w:u w:val="single"/>
    </w:rPr>
  </w:style>
  <w:style w:type="character" w:styleId="FollowedHyperlink">
    <w:name w:val="FollowedHyperlink"/>
    <w:basedOn w:val="DefaultParagraphFont"/>
    <w:uiPriority w:val="99"/>
    <w:semiHidden/>
    <w:unhideWhenUsed/>
    <w:rsid w:val="00364DA3"/>
    <w:rPr>
      <w:color w:val="800080" w:themeColor="followedHyperlink"/>
      <w:u w:val="single"/>
    </w:rPr>
  </w:style>
  <w:style w:type="character" w:styleId="UnresolvedMention">
    <w:name w:val="Unresolved Mention"/>
    <w:basedOn w:val="DefaultParagraphFont"/>
    <w:uiPriority w:val="99"/>
    <w:semiHidden/>
    <w:unhideWhenUsed/>
    <w:rsid w:val="00364DA3"/>
    <w:rPr>
      <w:color w:val="605E5C"/>
      <w:shd w:val="clear" w:color="auto" w:fill="E1DFDD"/>
    </w:rPr>
  </w:style>
  <w:style w:type="paragraph" w:styleId="Header">
    <w:name w:val="header"/>
    <w:basedOn w:val="Normal"/>
    <w:link w:val="HeaderChar"/>
    <w:uiPriority w:val="99"/>
    <w:unhideWhenUsed/>
    <w:rsid w:val="00EF55B4"/>
    <w:pPr>
      <w:tabs>
        <w:tab w:val="center" w:pos="4513"/>
        <w:tab w:val="right" w:pos="9026"/>
      </w:tabs>
    </w:pPr>
  </w:style>
  <w:style w:type="character" w:customStyle="1" w:styleId="HeaderChar">
    <w:name w:val="Header Char"/>
    <w:basedOn w:val="DefaultParagraphFont"/>
    <w:link w:val="Header"/>
    <w:uiPriority w:val="99"/>
    <w:rsid w:val="00EF55B4"/>
    <w:rPr>
      <w:sz w:val="24"/>
    </w:rPr>
  </w:style>
  <w:style w:type="paragraph" w:styleId="Footer">
    <w:name w:val="footer"/>
    <w:basedOn w:val="Normal"/>
    <w:link w:val="FooterChar"/>
    <w:uiPriority w:val="99"/>
    <w:unhideWhenUsed/>
    <w:rsid w:val="00EF55B4"/>
    <w:pPr>
      <w:tabs>
        <w:tab w:val="center" w:pos="4513"/>
        <w:tab w:val="right" w:pos="9026"/>
      </w:tabs>
    </w:pPr>
  </w:style>
  <w:style w:type="character" w:customStyle="1" w:styleId="FooterChar">
    <w:name w:val="Footer Char"/>
    <w:basedOn w:val="DefaultParagraphFont"/>
    <w:link w:val="Footer"/>
    <w:uiPriority w:val="99"/>
    <w:rsid w:val="00EF55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97132">
      <w:bodyDiv w:val="1"/>
      <w:marLeft w:val="0"/>
      <w:marRight w:val="0"/>
      <w:marTop w:val="0"/>
      <w:marBottom w:val="0"/>
      <w:divBdr>
        <w:top w:val="none" w:sz="0" w:space="0" w:color="auto"/>
        <w:left w:val="none" w:sz="0" w:space="0" w:color="auto"/>
        <w:bottom w:val="none" w:sz="0" w:space="0" w:color="auto"/>
        <w:right w:val="none" w:sz="0" w:space="0" w:color="auto"/>
      </w:divBdr>
    </w:div>
    <w:div w:id="1170831531">
      <w:bodyDiv w:val="1"/>
      <w:marLeft w:val="0"/>
      <w:marRight w:val="0"/>
      <w:marTop w:val="0"/>
      <w:marBottom w:val="0"/>
      <w:divBdr>
        <w:top w:val="none" w:sz="0" w:space="0" w:color="auto"/>
        <w:left w:val="none" w:sz="0" w:space="0" w:color="auto"/>
        <w:bottom w:val="none" w:sz="0" w:space="0" w:color="auto"/>
        <w:right w:val="none" w:sz="0" w:space="0" w:color="auto"/>
      </w:divBdr>
    </w:div>
    <w:div w:id="1225989160">
      <w:bodyDiv w:val="1"/>
      <w:marLeft w:val="0"/>
      <w:marRight w:val="0"/>
      <w:marTop w:val="0"/>
      <w:marBottom w:val="0"/>
      <w:divBdr>
        <w:top w:val="none" w:sz="0" w:space="0" w:color="auto"/>
        <w:left w:val="none" w:sz="0" w:space="0" w:color="auto"/>
        <w:bottom w:val="none" w:sz="0" w:space="0" w:color="auto"/>
        <w:right w:val="none" w:sz="0" w:space="0" w:color="auto"/>
      </w:divBdr>
    </w:div>
    <w:div w:id="1629167052">
      <w:bodyDiv w:val="1"/>
      <w:marLeft w:val="0"/>
      <w:marRight w:val="0"/>
      <w:marTop w:val="0"/>
      <w:marBottom w:val="0"/>
      <w:divBdr>
        <w:top w:val="none" w:sz="0" w:space="0" w:color="auto"/>
        <w:left w:val="none" w:sz="0" w:space="0" w:color="auto"/>
        <w:bottom w:val="none" w:sz="0" w:space="0" w:color="auto"/>
        <w:right w:val="none" w:sz="0" w:space="0" w:color="auto"/>
      </w:divBdr>
    </w:div>
    <w:div w:id="211709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Relationships>

</file>

<file path=word/_rels/footnotes.xml.rels><?xml version="1.0" encoding="UTF-8" standalone="yes"?>
<Relationships xmlns="http://schemas.openxmlformats.org/package/2006/relationships">
<Relationship Id="rId1" Target="https://neighbourhood-enlargement.ec.europa.eu/enlargement-policy/strategy-and-reports/2023-eu-enlargement-policy-links_el" TargetMode="External" Type="http://schemas.openxmlformats.org/officeDocument/2006/relationships/hyperlink"/>
<Relationship Id="rId2" Target="https://www.un.org/en/about-us/universal-declaration-of-human-rights" TargetMode="External" Type="http://schemas.openxmlformats.org/officeDocument/2006/relationships/hyperlink"/>
<Relationship Id="rId3" Target="https://rm.coe.int/168006377c" TargetMode="External" Type="http://schemas.openxmlformats.org/officeDocument/2006/relationships/hyperlink"/>
<Relationship Id="rId4" Target="https://neighbourhood-enlargement.ec.europa.eu/enlargement-policy/strategy-and-reports/2023-eu-enlargement-policy-links_el"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942</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2024-02-12T12:49:00Z</dcterms:created>
  <dcterms:modified xsi:type="dcterms:W3CDTF">2024-02-12T12:51:00Z</dcterms:modified>
  <cp:revision>1</cp:revision>
</cp:coreProperties>
</file>