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9816E6B" w14:textId="77777777" w:rsidR="00F40610" w:rsidRDefault="00F40610">
      <w:pPr>
        <w:pStyle w:val="Corpsdetexte"/>
        <w:rPr>
          <w:sz w:val="20"/>
        </w:rPr>
      </w:pPr>
    </w:p>
    <w:p w14:paraId="5575D8A2" w14:textId="77777777" w:rsidR="00F40610" w:rsidRDefault="00F40610">
      <w:pPr>
        <w:pStyle w:val="Corpsdetexte"/>
        <w:rPr>
          <w:sz w:val="20"/>
        </w:rPr>
      </w:pPr>
    </w:p>
    <w:p w14:paraId="2504AFEC" w14:textId="77777777" w:rsidR="00F40610" w:rsidRDefault="00F40610">
      <w:pPr>
        <w:pStyle w:val="Corpsdetexte"/>
        <w:rPr>
          <w:sz w:val="20"/>
        </w:rPr>
      </w:pPr>
    </w:p>
    <w:p w14:paraId="3FDDA7E2" w14:textId="77777777" w:rsidR="00F40610" w:rsidRDefault="00F40610">
      <w:pPr>
        <w:pStyle w:val="Corpsdetexte"/>
        <w:rPr>
          <w:sz w:val="20"/>
        </w:rPr>
      </w:pPr>
    </w:p>
    <w:p w14:paraId="357E56F4" w14:textId="77777777" w:rsidR="00F40610" w:rsidRDefault="00F40610">
      <w:pPr>
        <w:pStyle w:val="Corpsdetexte"/>
        <w:rPr>
          <w:sz w:val="20"/>
        </w:rPr>
      </w:pPr>
    </w:p>
    <w:p w14:paraId="4ADA9DEA" w14:textId="77777777" w:rsidR="00F40610" w:rsidRDefault="00F40610">
      <w:pPr>
        <w:pStyle w:val="Corpsdetexte"/>
        <w:rPr>
          <w:sz w:val="20"/>
        </w:rPr>
      </w:pPr>
    </w:p>
    <w:p w14:paraId="3FE8FA97" w14:textId="77777777" w:rsidR="00F40610" w:rsidRDefault="00F40610">
      <w:pPr>
        <w:pStyle w:val="Corpsdetexte"/>
        <w:rPr>
          <w:sz w:val="20"/>
        </w:rPr>
      </w:pPr>
    </w:p>
    <w:p w14:paraId="67E251DD" w14:textId="77777777" w:rsidR="00F40610" w:rsidRDefault="00F40610">
      <w:pPr>
        <w:pStyle w:val="Corpsdetexte"/>
        <w:spacing w:before="9"/>
        <w:rPr>
          <w:sz w:val="27"/>
        </w:rPr>
      </w:pPr>
    </w:p>
    <w:p w14:paraId="706B7169" w14:textId="77777777" w:rsidR="00F40610" w:rsidRDefault="00F92F94">
      <w:pPr>
        <w:spacing w:before="95"/>
        <w:ind w:left="3646" w:right="3341"/>
        <w:jc w:val="center"/>
        <w:rPr>
          <w:sz w:val="29"/>
        </w:rPr>
      </w:pPr>
      <w:r>
        <w:pict w14:anchorId="5D2DE15F">
          <v:group id="docshapegroup1" o:spid="_x0000_s1027" style="position:absolute;left:0;text-align:left;margin-left:71.75pt;margin-top:-96.2pt;width:450.75pt;height:102.25pt;z-index:15729152;mso-position-horizontal-relative:page" coordorigin="1435,-1924" coordsize="9015,20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7900;top:-1924;width:2525;height:2045">
              <v:imagedata r:id="rId6" o:title=""/>
            </v:shape>
            <v:line id="_x0000_s1029" style="position:absolute" from="1440,68" to="10445,54" strokeweight=".48p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docshape3" o:spid="_x0000_s1028" type="#_x0000_t202" style="position:absolute;left:1435;top:-1924;width:9015;height:2045" filled="f" stroked="f">
              <v:textbox inset="0,0,0,0">
                <w:txbxContent>
                  <w:p w14:paraId="637151AC" w14:textId="77777777" w:rsidR="005E5F61" w:rsidRDefault="005E5F61">
                    <w:pPr>
                      <w:rPr>
                        <w:sz w:val="34"/>
                      </w:rPr>
                    </w:pPr>
                  </w:p>
                  <w:p w14:paraId="0D571A5D" w14:textId="77777777" w:rsidR="005E5F61" w:rsidRDefault="005E5F61">
                    <w:pPr>
                      <w:spacing w:before="11"/>
                      <w:rPr>
                        <w:sz w:val="37"/>
                      </w:rPr>
                    </w:pPr>
                  </w:p>
                  <w:p w14:paraId="619B2452" w14:textId="77777777" w:rsidR="005E5F61" w:rsidRDefault="005E5F61">
                    <w:pPr>
                      <w:ind w:left="111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sz w:val="31"/>
                      </w:rPr>
                      <w:t>European</w:t>
                    </w:r>
                    <w:r>
                      <w:rPr>
                        <w:rFonts w:ascii="Arial"/>
                        <w:b/>
                        <w:spacing w:val="28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31"/>
                      </w:rPr>
                      <w:t>Parliament</w:t>
                    </w:r>
                  </w:p>
                  <w:p w14:paraId="17CD4305" w14:textId="77777777" w:rsidR="005E5F61" w:rsidRDefault="005E5F61">
                    <w:pPr>
                      <w:spacing w:before="10"/>
                      <w:ind w:left="111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sz w:val="19"/>
                      </w:rPr>
                      <w:t>2019-</w:t>
                    </w:r>
                    <w:r>
                      <w:rPr>
                        <w:rFonts w:ascii="Arial"/>
                        <w:spacing w:val="-4"/>
                        <w:sz w:val="19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 w:rsidR="008C1CB5">
        <w:rPr>
          <w:sz w:val="29"/>
        </w:rPr>
        <w:t>European</w:t>
      </w:r>
      <w:r w:rsidR="008C1CB5">
        <w:rPr>
          <w:spacing w:val="33"/>
          <w:sz w:val="29"/>
        </w:rPr>
        <w:t xml:space="preserve"> </w:t>
      </w:r>
      <w:r w:rsidR="008C1CB5">
        <w:rPr>
          <w:spacing w:val="-2"/>
          <w:sz w:val="29"/>
        </w:rPr>
        <w:t>Parliament</w:t>
      </w:r>
    </w:p>
    <w:p w14:paraId="64EAB916" w14:textId="77777777" w:rsidR="00F40610" w:rsidRDefault="00F92F94">
      <w:pPr>
        <w:pStyle w:val="Corpsdetexte"/>
        <w:spacing w:before="1"/>
        <w:rPr>
          <w:sz w:val="12"/>
        </w:rPr>
      </w:pPr>
      <w:r>
        <w:pict w14:anchorId="442BE808">
          <v:shape id="docshape4" o:spid="_x0000_s1026" style="position:absolute;margin-left:71.75pt;margin-top:8.15pt;width:448.8pt;height:.1pt;z-index:-15728640;mso-wrap-distance-left:0;mso-wrap-distance-right:0;mso-position-horizontal-relative:page" coordorigin="1435,163" coordsize="8976,0" path="m1435,163l10411,163e" filled="f" strokeweight=".48pt">
            <v:path arrowok="t"/>
            <w10:wrap type="topAndBottom" anchorx="page"/>
          </v:shape>
        </w:pict>
      </w:r>
    </w:p>
    <w:p w14:paraId="1BCB6938" w14:textId="77777777" w:rsidR="00F40610" w:rsidRDefault="00F40610">
      <w:pPr>
        <w:pStyle w:val="Corpsdetexte"/>
        <w:rPr>
          <w:sz w:val="47"/>
        </w:rPr>
      </w:pPr>
    </w:p>
    <w:p w14:paraId="65905638" w14:textId="77777777" w:rsidR="00F40610" w:rsidRDefault="008C1CB5">
      <w:pPr>
        <w:pStyle w:val="Titre"/>
      </w:pPr>
      <w:r>
        <w:t>Ερώτηση</w:t>
      </w:r>
      <w:r>
        <w:rPr>
          <w:spacing w:val="20"/>
        </w:rPr>
        <w:t xml:space="preserve"> </w:t>
      </w:r>
      <w:r>
        <w:t>µε</w:t>
      </w:r>
      <w:r>
        <w:rPr>
          <w:spacing w:val="21"/>
        </w:rPr>
        <w:t xml:space="preserve"> </w:t>
      </w:r>
      <w:r>
        <w:t>αίτηµα</w:t>
      </w:r>
      <w:r>
        <w:rPr>
          <w:spacing w:val="22"/>
        </w:rPr>
        <w:t xml:space="preserve"> </w:t>
      </w:r>
      <w:r>
        <w:t>γραπτής</w:t>
      </w:r>
      <w:r>
        <w:rPr>
          <w:spacing w:val="24"/>
        </w:rPr>
        <w:t xml:space="preserve"> </w:t>
      </w:r>
      <w:r>
        <w:rPr>
          <w:spacing w:val="-2"/>
        </w:rPr>
        <w:t>απάντησης</w:t>
      </w:r>
    </w:p>
    <w:p w14:paraId="6D488A1E" w14:textId="77777777" w:rsidR="00F40610" w:rsidRDefault="008C1CB5">
      <w:pPr>
        <w:spacing w:before="248"/>
        <w:ind w:left="219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προς</w:t>
      </w:r>
      <w:r>
        <w:rPr>
          <w:rFonts w:ascii="Arial" w:hAnsi="Arial"/>
          <w:b/>
          <w:spacing w:val="-1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την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Επιτροπή</w:t>
      </w:r>
    </w:p>
    <w:p w14:paraId="12E790B2" w14:textId="77777777" w:rsidR="00F40610" w:rsidRDefault="008C1CB5">
      <w:pPr>
        <w:spacing w:before="17"/>
        <w:ind w:left="219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Άρθρο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138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του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spacing w:val="-2"/>
          <w:w w:val="105"/>
          <w:sz w:val="19"/>
        </w:rPr>
        <w:t>Κανονισµού</w:t>
      </w:r>
    </w:p>
    <w:p w14:paraId="58A6B070" w14:textId="1A2B34FA" w:rsidR="00F40610" w:rsidRDefault="00E40EDC">
      <w:pPr>
        <w:spacing w:before="2"/>
        <w:ind w:left="219"/>
        <w:rPr>
          <w:rFonts w:ascii="Arial"/>
          <w:sz w:val="19"/>
        </w:rPr>
      </w:pPr>
      <w:r>
        <w:rPr>
          <w:rFonts w:ascii="Arial"/>
          <w:b/>
          <w:sz w:val="19"/>
        </w:rPr>
        <w:t>Εμμανουήλ</w:t>
      </w:r>
      <w:r>
        <w:rPr>
          <w:rFonts w:ascii="Arial"/>
          <w:b/>
          <w:sz w:val="19"/>
        </w:rPr>
        <w:t xml:space="preserve"> </w:t>
      </w:r>
      <w:r>
        <w:rPr>
          <w:rFonts w:ascii="Arial"/>
          <w:b/>
          <w:sz w:val="19"/>
        </w:rPr>
        <w:t>Φράγκος</w:t>
      </w:r>
      <w:r>
        <w:rPr>
          <w:rFonts w:ascii="Arial"/>
          <w:b/>
          <w:sz w:val="19"/>
        </w:rPr>
        <w:t xml:space="preserve"> </w:t>
      </w:r>
      <w:r w:rsidR="008C1CB5">
        <w:rPr>
          <w:rFonts w:ascii="Arial"/>
          <w:spacing w:val="-4"/>
          <w:sz w:val="19"/>
        </w:rPr>
        <w:t>(ECR)</w:t>
      </w:r>
    </w:p>
    <w:p w14:paraId="0DCBA63C" w14:textId="77777777" w:rsidR="00F40610" w:rsidRDefault="00F40610">
      <w:pPr>
        <w:pStyle w:val="Corpsdetexte"/>
        <w:spacing w:before="1"/>
        <w:rPr>
          <w:rFonts w:ascii="Arial"/>
          <w:sz w:val="21"/>
        </w:rPr>
      </w:pPr>
    </w:p>
    <w:p w14:paraId="58B514B3" w14:textId="3FAD5E60" w:rsidR="000A47E1" w:rsidRPr="00A24F9E" w:rsidRDefault="008C1CB5" w:rsidP="000A47E1">
      <w:pPr>
        <w:pStyle w:val="Corpsdetexte"/>
        <w:spacing w:line="237" w:lineRule="auto"/>
        <w:ind w:left="119" w:right="99"/>
        <w:jc w:val="both"/>
        <w:rPr>
          <w:sz w:val="22"/>
          <w:szCs w:val="22"/>
        </w:rPr>
      </w:pPr>
      <w:r w:rsidRPr="008C1CB5">
        <w:rPr>
          <w:rFonts w:ascii="Arial" w:hAnsi="Arial"/>
          <w:b/>
          <w:spacing w:val="-4"/>
          <w:sz w:val="22"/>
          <w:szCs w:val="22"/>
        </w:rPr>
        <w:t>Θέµα:</w:t>
      </w:r>
      <w:r w:rsidRPr="008C1CB5">
        <w:rPr>
          <w:rFonts w:ascii="Arial" w:hAnsi="Arial"/>
          <w:b/>
          <w:spacing w:val="5"/>
          <w:sz w:val="22"/>
          <w:szCs w:val="22"/>
        </w:rPr>
        <w:t xml:space="preserve"> </w:t>
      </w:r>
      <w:r w:rsidR="00F92F94">
        <w:rPr>
          <w:rFonts w:ascii="Arial" w:hAnsi="Arial"/>
          <w:b/>
          <w:spacing w:val="5"/>
          <w:sz w:val="22"/>
          <w:szCs w:val="22"/>
        </w:rPr>
        <w:t>Παύση της εύνοιας στις εισαγωγές έναντι των προϊόντων μας</w:t>
      </w:r>
      <w:bookmarkStart w:id="0" w:name="_GoBack"/>
      <w:bookmarkEnd w:id="0"/>
    </w:p>
    <w:p w14:paraId="35E80D1E" w14:textId="77777777" w:rsidR="00F424B4" w:rsidRDefault="00F424B4" w:rsidP="00F424B4">
      <w:pPr>
        <w:widowControl/>
        <w:autoSpaceDE/>
        <w:autoSpaceDN/>
        <w:rPr>
          <w:rFonts w:ascii="Times" w:hAnsi="Times"/>
          <w:sz w:val="20"/>
          <w:szCs w:val="20"/>
          <w:lang w:eastAsia="fr-FR"/>
        </w:rPr>
      </w:pPr>
    </w:p>
    <w:p w14:paraId="56B9CF99" w14:textId="48E60BF4" w:rsidR="006D4B0A" w:rsidRDefault="005E5F61" w:rsidP="0028665D">
      <w:pPr>
        <w:pStyle w:val="Corpsdetexte"/>
        <w:spacing w:line="237" w:lineRule="auto"/>
        <w:ind w:left="119" w:right="99"/>
        <w:jc w:val="both"/>
      </w:pPr>
      <w:r>
        <w:t>Όπως καταγγέλλουν οι αγρότες, α</w:t>
      </w:r>
      <w:r w:rsidR="006D4B0A">
        <w:t>ν ένας αγρότης</w:t>
      </w:r>
      <w:r>
        <w:t xml:space="preserve"> μας</w:t>
      </w:r>
      <w:r w:rsidR="006D4B0A">
        <w:t xml:space="preserve"> χρησιμοποιήσει απαγορευμένο φυτοφάρμακο, αντιμετωπίζει εξάμηνη φυλάκιση, πρόστιμο 150.000 ευρώ και 10% του τζίρου του. </w:t>
      </w:r>
      <w:r>
        <w:t>Όμως, ο</w:t>
      </w:r>
      <w:r w:rsidR="006D4B0A">
        <w:t>ι ίδιες κυρώσεις δεν υπάρχουν για τους  εισαγωγείς αγροτικών προϊόντων από τις βορειοαφρικανικές χώρες πο</w:t>
      </w:r>
      <w:r>
        <w:t>υ χρησιμοποιούν διχλωροπροπένιο</w:t>
      </w:r>
      <w:r w:rsidR="006D4B0A">
        <w:t>.</w:t>
      </w:r>
      <w:r w:rsidR="0028665D" w:rsidRPr="0028665D">
        <w:t xml:space="preserve"> </w:t>
      </w:r>
      <w:r w:rsidR="0028665D">
        <w:t>Ενδεικτικά, οι εξαγωγές ντομάτας από το Μαρόκο στην Ευρώπη αυξήθηκαν κατά 52% σε δέκα χρόνια.</w:t>
      </w:r>
    </w:p>
    <w:p w14:paraId="76D3C6E1" w14:textId="77777777" w:rsidR="0028665D" w:rsidRDefault="006D4B0A" w:rsidP="0028665D">
      <w:pPr>
        <w:pStyle w:val="Corpsdetexte"/>
        <w:spacing w:line="237" w:lineRule="auto"/>
        <w:ind w:left="119" w:right="99"/>
        <w:jc w:val="both"/>
      </w:pPr>
      <w:r>
        <w:t>Τα εσπεριδοειδή, οι ντομάτες, οι πατάτες προέρχονται, ως επί το πλείστον, από τη Νότια Αφρική, την Τουρκία, το Μαρόκο, την Τυνησία και την Αίγυπτο.</w:t>
      </w:r>
      <w:r w:rsidR="0028665D" w:rsidRPr="0028665D">
        <w:t xml:space="preserve"> </w:t>
      </w:r>
    </w:p>
    <w:p w14:paraId="4B34EFF3" w14:textId="77777777" w:rsidR="0028665D" w:rsidRDefault="0028665D" w:rsidP="0028665D">
      <w:pPr>
        <w:pStyle w:val="Corpsdetexte"/>
        <w:spacing w:line="237" w:lineRule="auto"/>
        <w:ind w:left="119" w:right="99"/>
        <w:jc w:val="both"/>
      </w:pPr>
    </w:p>
    <w:p w14:paraId="6BA63552" w14:textId="713DA4BC" w:rsidR="0028665D" w:rsidRDefault="0028665D" w:rsidP="0028665D">
      <w:pPr>
        <w:pStyle w:val="Corpsdetexte"/>
        <w:spacing w:line="237" w:lineRule="auto"/>
        <w:ind w:left="119" w:right="99"/>
        <w:jc w:val="both"/>
      </w:pPr>
      <w:r>
        <w:t>Αντίστοιχα, οι εισαγωγές γενετικώς τροποποιημένων προϊόντων των ΗΠΑ, ή καναδικών προϊόντων με ίχνη γλυφοσάτης γίνονται με ειρωνική διάκριση έναντι των παραγωγών / των καταναλωτών μας.</w:t>
      </w:r>
    </w:p>
    <w:p w14:paraId="18FC4A07" w14:textId="77777777" w:rsidR="006D4B0A" w:rsidRDefault="006D4B0A" w:rsidP="006D4B0A">
      <w:pPr>
        <w:pStyle w:val="Corpsdetexte"/>
        <w:spacing w:line="237" w:lineRule="auto"/>
        <w:ind w:left="119" w:right="99"/>
        <w:jc w:val="both"/>
      </w:pPr>
    </w:p>
    <w:p w14:paraId="1661C06C" w14:textId="64E5B568" w:rsidR="006D4B0A" w:rsidRDefault="005E5F61" w:rsidP="005E5F61">
      <w:pPr>
        <w:pStyle w:val="Corpsdetexte"/>
        <w:spacing w:line="237" w:lineRule="auto"/>
        <w:ind w:left="119" w:right="99"/>
        <w:jc w:val="both"/>
      </w:pPr>
      <w:r>
        <w:t>Κατά συνέπεια, παράλληλα στη πρόταση για «πρασίνισμα» της ευρωπαϊκής γεωργίας, η  Ευρωπαϊκή Επιτροπή προβλέπει πτώση της παραγωγής στην ΕΕ κατά 22% μέχρι το 2035</w:t>
      </w:r>
      <w:r w:rsidR="0028665D">
        <w:t>.</w:t>
      </w:r>
    </w:p>
    <w:p w14:paraId="596FCA64" w14:textId="77777777" w:rsidR="007874EC" w:rsidRDefault="007874EC" w:rsidP="008C1CB5">
      <w:pPr>
        <w:pStyle w:val="Corpsdetexte"/>
        <w:spacing w:line="237" w:lineRule="auto"/>
        <w:ind w:left="119" w:right="99"/>
        <w:jc w:val="both"/>
      </w:pPr>
    </w:p>
    <w:p w14:paraId="484AC9AE" w14:textId="3F098FD9" w:rsidR="007874EC" w:rsidRDefault="005E5F61" w:rsidP="005E5F61">
      <w:pPr>
        <w:pStyle w:val="Corpsdetexte"/>
        <w:spacing w:line="237" w:lineRule="auto"/>
        <w:ind w:left="119" w:right="99"/>
        <w:jc w:val="both"/>
      </w:pPr>
      <w:r>
        <w:t>Χαρακτηριστικά, σ</w:t>
      </w:r>
      <w:r w:rsidR="000B204F">
        <w:t>την Ελλάδα, τ</w:t>
      </w:r>
      <w:r w:rsidR="007874EC">
        <w:t>ο ενδεκάμηνο του 2023 οι εισαγωγές φρούτων και λαχανικών ανήλθαν σ</w:t>
      </w:r>
      <w:r w:rsidR="000B204F">
        <w:t>υνολικά σε 601,18 χιλιάδες τόνους</w:t>
      </w:r>
      <w:r w:rsidR="007874EC">
        <w:t>, έναντι 506,686 χιλιάδων τόνων για το αντίστοιχο διάστημα 2022 (αύξηση 18,65%</w:t>
      </w:r>
      <w:r w:rsidR="000B204F">
        <w:t xml:space="preserve"> σε ένα χρόνο</w:t>
      </w:r>
      <w:r w:rsidR="007874EC">
        <w:t>)</w:t>
      </w:r>
      <w:r w:rsidR="000B204F">
        <w:t>.</w:t>
      </w:r>
      <w:r>
        <w:t xml:space="preserve"> Πλέον στα ελληνικά </w:t>
      </w:r>
      <w:r w:rsidR="000B204F">
        <w:t>καταστήματα, τα προϊόντα ελληνικής παρα</w:t>
      </w:r>
      <w:r>
        <w:t>γωγής αποτελούν προσεγγίζουν το 50%</w:t>
      </w:r>
      <w:r w:rsidR="000B204F" w:rsidRPr="000B204F">
        <w:rPr>
          <w:rStyle w:val="lev"/>
          <w:b w:val="0"/>
        </w:rPr>
        <w:t>,</w:t>
      </w:r>
      <w:r w:rsidR="000B204F">
        <w:t xml:space="preserve"> όταν πριν από μερικά χρόνια το ποσοστό ήταν </w:t>
      </w:r>
      <w:r w:rsidR="000B204F" w:rsidRPr="000B204F">
        <w:rPr>
          <w:rStyle w:val="lev"/>
          <w:b w:val="0"/>
        </w:rPr>
        <w:t>70%.</w:t>
      </w:r>
    </w:p>
    <w:p w14:paraId="104652B1" w14:textId="77777777" w:rsidR="00794516" w:rsidRPr="00E40EDC" w:rsidRDefault="00794516" w:rsidP="008C1CB5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</w:p>
    <w:p w14:paraId="447AFB86" w14:textId="77777777" w:rsidR="00F40610" w:rsidRPr="00E40EDC" w:rsidRDefault="000A47E1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  <w:r w:rsidRPr="00E40EDC">
        <w:rPr>
          <w:rFonts w:ascii="Times" w:hAnsi="Times"/>
          <w:sz w:val="20"/>
          <w:szCs w:val="20"/>
        </w:rPr>
        <w:t>Ε</w:t>
      </w:r>
      <w:r w:rsidR="008C1CB5" w:rsidRPr="00E40EDC">
        <w:rPr>
          <w:rFonts w:ascii="Times" w:hAnsi="Times"/>
          <w:sz w:val="20"/>
          <w:szCs w:val="20"/>
        </w:rPr>
        <w:t>ρωτάται η Ευρωπαϊκή Επιτροπή:</w:t>
      </w:r>
    </w:p>
    <w:p w14:paraId="3D102D1B" w14:textId="77777777" w:rsidR="00F40610" w:rsidRPr="00E40EDC" w:rsidRDefault="00F40610">
      <w:pPr>
        <w:pStyle w:val="Corpsdetexte"/>
        <w:spacing w:before="1"/>
        <w:rPr>
          <w:rFonts w:ascii="Times" w:hAnsi="Times"/>
          <w:sz w:val="20"/>
          <w:szCs w:val="20"/>
        </w:rPr>
      </w:pPr>
    </w:p>
    <w:p w14:paraId="65B7F48E" w14:textId="2C13A8B9" w:rsidR="00F40610" w:rsidRDefault="000A47E1" w:rsidP="005E5F61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  <w:r w:rsidRPr="00E40EDC">
        <w:rPr>
          <w:rFonts w:ascii="Times" w:hAnsi="Times"/>
          <w:sz w:val="20"/>
          <w:szCs w:val="20"/>
        </w:rPr>
        <w:t xml:space="preserve">1) </w:t>
      </w:r>
      <w:r w:rsidR="005E5F61">
        <w:rPr>
          <w:rFonts w:ascii="Times" w:hAnsi="Times"/>
          <w:sz w:val="20"/>
          <w:szCs w:val="20"/>
        </w:rPr>
        <w:t>Σε ποιές κινήσεις σχεδιάζει να προβεί για να εξασφαλίσει ότι οι εισαγωγές θα τηρούν αυστηρά τα ευρωπαϊκά πρότυπα παραγωγής;</w:t>
      </w:r>
    </w:p>
    <w:p w14:paraId="2B8C6900" w14:textId="77777777" w:rsidR="005E5F61" w:rsidRDefault="005E5F61" w:rsidP="005E5F61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</w:p>
    <w:p w14:paraId="07336267" w14:textId="7CB609FA" w:rsidR="005E5F61" w:rsidRDefault="005E5F61" w:rsidP="005E5F61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2) Εφόσον αναγνωρίζει τις ενδείξεις ότι οι έλεγχοι των παράνομων εισαγωγών γίνονται πλημμελώς, τι οφείλουν να κάνουν τα κράτη μέλη για να τις σταματήσουν;</w:t>
      </w:r>
    </w:p>
    <w:p w14:paraId="6EA9C4C9" w14:textId="77777777" w:rsidR="0028665D" w:rsidRDefault="0028665D" w:rsidP="005E5F61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</w:p>
    <w:p w14:paraId="01EF54B9" w14:textId="13DCFF7B" w:rsidR="0028665D" w:rsidRPr="005E5F61" w:rsidRDefault="0028665D" w:rsidP="005E5F61">
      <w:pPr>
        <w:pStyle w:val="Corpsdetexte"/>
        <w:spacing w:line="237" w:lineRule="auto"/>
        <w:ind w:left="119" w:right="99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3) Υπάρχουν σχετικές συστάσεις που δεν τηρεί η Ελλάδα;</w:t>
      </w:r>
    </w:p>
    <w:sectPr w:rsidR="0028665D" w:rsidRPr="005E5F61" w:rsidSect="008C1CB5">
      <w:type w:val="continuous"/>
      <w:pgSz w:w="11900" w:h="16840"/>
      <w:pgMar w:top="851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9A1599E"/>
    <w:multiLevelType w:val="hybridMultilevel"/>
    <w:tmpl w:val="8022356C"/>
    <w:lvl w:ilvl="0" w:tplc="D846818A">
      <w:start w:val="1"/>
      <w:numFmt w:val="decimal"/>
      <w:lvlText w:val="%1)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0D42F354">
      <w:numFmt w:val="bullet"/>
      <w:lvlText w:val="•"/>
      <w:lvlJc w:val="left"/>
      <w:pPr>
        <w:ind w:left="1056" w:hanging="279"/>
      </w:pPr>
      <w:rPr>
        <w:rFonts w:hint="default"/>
        <w:lang w:val="el-GR" w:eastAsia="en-US" w:bidi="ar-SA"/>
      </w:rPr>
    </w:lvl>
    <w:lvl w:ilvl="2" w:tplc="981847F4">
      <w:numFmt w:val="bullet"/>
      <w:lvlText w:val="•"/>
      <w:lvlJc w:val="left"/>
      <w:pPr>
        <w:ind w:left="1992" w:hanging="279"/>
      </w:pPr>
      <w:rPr>
        <w:rFonts w:hint="default"/>
        <w:lang w:val="el-GR" w:eastAsia="en-US" w:bidi="ar-SA"/>
      </w:rPr>
    </w:lvl>
    <w:lvl w:ilvl="3" w:tplc="C714F680">
      <w:numFmt w:val="bullet"/>
      <w:lvlText w:val="•"/>
      <w:lvlJc w:val="left"/>
      <w:pPr>
        <w:ind w:left="2928" w:hanging="279"/>
      </w:pPr>
      <w:rPr>
        <w:rFonts w:hint="default"/>
        <w:lang w:val="el-GR" w:eastAsia="en-US" w:bidi="ar-SA"/>
      </w:rPr>
    </w:lvl>
    <w:lvl w:ilvl="4" w:tplc="58FC3AE4">
      <w:numFmt w:val="bullet"/>
      <w:lvlText w:val="•"/>
      <w:lvlJc w:val="left"/>
      <w:pPr>
        <w:ind w:left="3864" w:hanging="279"/>
      </w:pPr>
      <w:rPr>
        <w:rFonts w:hint="default"/>
        <w:lang w:val="el-GR" w:eastAsia="en-US" w:bidi="ar-SA"/>
      </w:rPr>
    </w:lvl>
    <w:lvl w:ilvl="5" w:tplc="922627F2">
      <w:numFmt w:val="bullet"/>
      <w:lvlText w:val="•"/>
      <w:lvlJc w:val="left"/>
      <w:pPr>
        <w:ind w:left="4800" w:hanging="279"/>
      </w:pPr>
      <w:rPr>
        <w:rFonts w:hint="default"/>
        <w:lang w:val="el-GR" w:eastAsia="en-US" w:bidi="ar-SA"/>
      </w:rPr>
    </w:lvl>
    <w:lvl w:ilvl="6" w:tplc="ED80CC0C">
      <w:numFmt w:val="bullet"/>
      <w:lvlText w:val="•"/>
      <w:lvlJc w:val="left"/>
      <w:pPr>
        <w:ind w:left="5736" w:hanging="279"/>
      </w:pPr>
      <w:rPr>
        <w:rFonts w:hint="default"/>
        <w:lang w:val="el-GR" w:eastAsia="en-US" w:bidi="ar-SA"/>
      </w:rPr>
    </w:lvl>
    <w:lvl w:ilvl="7" w:tplc="8CD2D050">
      <w:numFmt w:val="bullet"/>
      <w:lvlText w:val="•"/>
      <w:lvlJc w:val="left"/>
      <w:pPr>
        <w:ind w:left="6672" w:hanging="279"/>
      </w:pPr>
      <w:rPr>
        <w:rFonts w:hint="default"/>
        <w:lang w:val="el-GR" w:eastAsia="en-US" w:bidi="ar-SA"/>
      </w:rPr>
    </w:lvl>
    <w:lvl w:ilvl="8" w:tplc="4036C888">
      <w:numFmt w:val="bullet"/>
      <w:lvlText w:val="•"/>
      <w:lvlJc w:val="left"/>
      <w:pPr>
        <w:ind w:left="7608" w:hanging="279"/>
      </w:pPr>
      <w:rPr>
        <w:rFonts w:hint="default"/>
        <w:lang w:val="el-GR" w:eastAsia="en-US" w:bidi="ar-SA"/>
      </w:rPr>
    </w:lvl>
  </w:abstractNum>
  <w:abstractNum w:abstractNumId="1">
    <w:nsid w:val="63366958"/>
    <w:multiLevelType w:val="hybridMultilevel"/>
    <w:tmpl w:val="2F6EEB96"/>
    <w:lvl w:ilvl="0" w:tplc="7D6E721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l-GR" w:eastAsia="en-US" w:bidi="ar-SA"/>
      </w:rPr>
    </w:lvl>
    <w:lvl w:ilvl="1" w:tplc="4A064314">
      <w:numFmt w:val="bullet"/>
      <w:lvlText w:val="•"/>
      <w:lvlJc w:val="left"/>
      <w:pPr>
        <w:ind w:left="1056" w:hanging="140"/>
      </w:pPr>
      <w:rPr>
        <w:rFonts w:hint="default"/>
        <w:lang w:val="el-GR" w:eastAsia="en-US" w:bidi="ar-SA"/>
      </w:rPr>
    </w:lvl>
    <w:lvl w:ilvl="2" w:tplc="D63E91F4">
      <w:numFmt w:val="bullet"/>
      <w:lvlText w:val="•"/>
      <w:lvlJc w:val="left"/>
      <w:pPr>
        <w:ind w:left="1992" w:hanging="140"/>
      </w:pPr>
      <w:rPr>
        <w:rFonts w:hint="default"/>
        <w:lang w:val="el-GR" w:eastAsia="en-US" w:bidi="ar-SA"/>
      </w:rPr>
    </w:lvl>
    <w:lvl w:ilvl="3" w:tplc="A1E43300">
      <w:numFmt w:val="bullet"/>
      <w:lvlText w:val="•"/>
      <w:lvlJc w:val="left"/>
      <w:pPr>
        <w:ind w:left="2928" w:hanging="140"/>
      </w:pPr>
      <w:rPr>
        <w:rFonts w:hint="default"/>
        <w:lang w:val="el-GR" w:eastAsia="en-US" w:bidi="ar-SA"/>
      </w:rPr>
    </w:lvl>
    <w:lvl w:ilvl="4" w:tplc="F63CE57A">
      <w:numFmt w:val="bullet"/>
      <w:lvlText w:val="•"/>
      <w:lvlJc w:val="left"/>
      <w:pPr>
        <w:ind w:left="3864" w:hanging="140"/>
      </w:pPr>
      <w:rPr>
        <w:rFonts w:hint="default"/>
        <w:lang w:val="el-GR" w:eastAsia="en-US" w:bidi="ar-SA"/>
      </w:rPr>
    </w:lvl>
    <w:lvl w:ilvl="5" w:tplc="37E4932A">
      <w:numFmt w:val="bullet"/>
      <w:lvlText w:val="•"/>
      <w:lvlJc w:val="left"/>
      <w:pPr>
        <w:ind w:left="4800" w:hanging="140"/>
      </w:pPr>
      <w:rPr>
        <w:rFonts w:hint="default"/>
        <w:lang w:val="el-GR" w:eastAsia="en-US" w:bidi="ar-SA"/>
      </w:rPr>
    </w:lvl>
    <w:lvl w:ilvl="6" w:tplc="1CDEB1DA">
      <w:numFmt w:val="bullet"/>
      <w:lvlText w:val="•"/>
      <w:lvlJc w:val="left"/>
      <w:pPr>
        <w:ind w:left="5736" w:hanging="140"/>
      </w:pPr>
      <w:rPr>
        <w:rFonts w:hint="default"/>
        <w:lang w:val="el-GR" w:eastAsia="en-US" w:bidi="ar-SA"/>
      </w:rPr>
    </w:lvl>
    <w:lvl w:ilvl="7" w:tplc="80A6FF92">
      <w:numFmt w:val="bullet"/>
      <w:lvlText w:val="•"/>
      <w:lvlJc w:val="left"/>
      <w:pPr>
        <w:ind w:left="6672" w:hanging="140"/>
      </w:pPr>
      <w:rPr>
        <w:rFonts w:hint="default"/>
        <w:lang w:val="el-GR" w:eastAsia="en-US" w:bidi="ar-SA"/>
      </w:rPr>
    </w:lvl>
    <w:lvl w:ilvl="8" w:tplc="25F6AFC4">
      <w:numFmt w:val="bullet"/>
      <w:lvlText w:val="•"/>
      <w:lvlJc w:val="left"/>
      <w:pPr>
        <w:ind w:left="7608" w:hanging="14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40610"/>
    <w:rsid w:val="000A47E1"/>
    <w:rsid w:val="000B204F"/>
    <w:rsid w:val="0028665D"/>
    <w:rsid w:val="0029566A"/>
    <w:rsid w:val="004430A9"/>
    <w:rsid w:val="005E5F61"/>
    <w:rsid w:val="006202E6"/>
    <w:rsid w:val="006D4B0A"/>
    <w:rsid w:val="007874EC"/>
    <w:rsid w:val="00794516"/>
    <w:rsid w:val="00811A18"/>
    <w:rsid w:val="00884D0E"/>
    <w:rsid w:val="008C1CB5"/>
    <w:rsid w:val="00A24F9E"/>
    <w:rsid w:val="00D57E0A"/>
    <w:rsid w:val="00E40EDC"/>
    <w:rsid w:val="00F40610"/>
    <w:rsid w:val="00F424B4"/>
    <w:rsid w:val="00F92F94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C60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19"/>
    </w:pPr>
    <w:rPr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ind w:left="119" w:right="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84D0E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956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2E6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fr-FR"/>
    </w:rPr>
  </w:style>
  <w:style w:type="character" w:styleId="lev">
    <w:name w:val="Strong"/>
    <w:basedOn w:val="Policepardfaut"/>
    <w:uiPriority w:val="22"/>
    <w:qFormat/>
    <w:rsid w:val="006202E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19"/>
    </w:pPr>
    <w:rPr>
      <w:b/>
      <w:bCs/>
      <w:sz w:val="29"/>
      <w:szCs w:val="29"/>
    </w:rPr>
  </w:style>
  <w:style w:type="paragraph" w:styleId="Paragraphedeliste">
    <w:name w:val="List Paragraph"/>
    <w:basedOn w:val="Normal"/>
    <w:uiPriority w:val="1"/>
    <w:qFormat/>
    <w:pPr>
      <w:ind w:left="119" w:right="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84D0E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956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2E6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fr-FR"/>
    </w:rPr>
  </w:style>
  <w:style w:type="character" w:styleId="lev">
    <w:name w:val="Strong"/>
    <w:basedOn w:val="Policepardfaut"/>
    <w:uiPriority w:val="22"/>
    <w:qFormat/>
    <w:rsid w:val="00620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1563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Alexandros Kyriakakis</cp:lastModifiedBy>
  <cp:revision>3</cp:revision>
  <cp:lastPrinted>2024-02-23T20:00:00Z</cp:lastPrinted>
  <dcterms:created xsi:type="dcterms:W3CDTF">2024-02-23T19:19:00Z</dcterms:created>
  <dcterms:modified xsi:type="dcterms:W3CDTF">2024-02-23T20:00:00Z</dcterms:modified>
</cp:coreProperties>
</file>